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630</w:t>
      </w:r>
    </w:p>
    <w:p>
      <w:r>
        <w:t>Bundesgericht (BGE), 1969-12-02, FR</w:t>
      </w:r>
    </w:p>
    <w:p>
      <w:r>
        <w:rPr>
          <w:b/>
        </w:rPr>
        <w:t xml:space="preserve">Quelle: </w:t>
      </w:r>
      <w:r>
        <w:t>https://mcp.opencaselaw.ch/entscheid/bge_95 II 630</w:t>
      </w:r>
    </w:p>
    <w:p>
      <w:r>
        <w:t>FR: ATF 95 II 630</w:t>
      </w:r>
    </w:p>
    <w:p>
      <w:r>
        <w:t>IT: DTF 95 II 630</w:t>
      </w:r>
    </w:p>
    <w:p>
      <w:pPr>
        <w:pStyle w:val="Heading2"/>
      </w:pPr>
      <w:r>
        <w:t>Regeste</w:t>
      </w:r>
    </w:p>
    <w:p>
      <w:r>
        <w:t>Regeste Haftpflicht des Motorfahrzeughalters. Befreiung wegen schweren Drittverschuldens? Art. 58 und 59 Abs. 1 SVG. 1. Der Versicherer des Halters eines Motorfahrzeuges mit schweizerischen Kontrollschildern kann von einem im Ausland verunfallten, aber in der Schweiz wohnhaften Mitfahrer hier belangt werden (Art. 65 und 85 SVG; Erw. 1). 2. Die solidarische Haftung von Schadenersatzpflichtigen gemäss Art. 60 Abs. 1 SVG gilt für den Halter eines Motorfahrzeuges, das an einem Unfall beteiligt ist, nur dann, wenn er nach den für ihn geltenden Regeln und unter Vorbehalt der vom Gesetz vorgesehenen Befreiungsgründe haftet (Bestätigung der Rechtsprechung; Erw. 2 und 3). 3. Ein auf der Autobahn verkehrender Motorfahrzeughalter, der beim Überholen wegen einer von einem Lastwagen fallenden Korbflasche einen Unfall erleidet, wird von seiner Haftpflicht gegenüber einem verletzten Mitfahrer nicht befreit, wenn den für die Ladung verantwortlichen Lastwagenführer nach den besonderen Umständen kein schweres Verschulden trifft (Erw. 4-6).</w:t>
      </w:r>
    </w:p>
    <w:p>
      <w:pPr>
        <w:pStyle w:val="Heading2"/>
      </w:pPr>
      <w:r>
        <w:t>Erwägungen</w:t>
      </w:r>
    </w:p>
    <w:p>
      <w:r>
        <w:rPr>
          <w:b/>
        </w:rPr>
        <w:t>E. 1</w:t>
      </w:r>
    </w:p>
    <w:p>
      <w:r>
        <w:t>Blessée dans un accident de la circulation qui s'est produit à l'étranger, alors qu'elle était domiciliée en Suisse et qu'elle avait pris place dans un véhicule automobile muni de plaques suisses, la recourante est fondée à se prévaloir des règles du droit suisse concernant la responsabilité civile et l'assurance du BGE 95 II 630 S. 634 détenteur de la voiture en question (art. 85 al. 2 lettre b LCR). La société d'assurances intimée ayant sa direction pour la Suisse à Lausanne, les tribunaux vaudois sont compétents pour connaître de l'action directe que lui intente le lésé (art. 65 et 85 al. 1 LCR).</w:t>
      </w:r>
    </w:p>
    <w:p>
      <w:r>
        <w:rPr>
          <w:b/>
        </w:rPr>
        <w:t>E. 2</w:t>
      </w:r>
    </w:p>
    <w:p>
      <w:r>
        <w:t>En vertu de l'art. 60 al. 1 LCR, lorsque plusieurs personnes répondent d'un dommage subi par un tiers dans un accident où est en cause un véhicule automobile, ces personnes sont solidairement responsables. Mais l'art. 60 al. 1 LCR n'institue pas un régime spécial, fondé sans exonération possible sur la causalité naturelle, dérogeant au droit commun. Il suppose au contraire que la responsabilité respective de chacune des personnes recherchées soit établie selon les règles qui lui sont propres et compte tenu des exculpations prévues par la loi. Ainsi, la responsabilité solidaire de deux détenteurs de véhicules automobiles impliqués dans un accident suppose que la responsabilité individuelle de chacun d'eux soit engagée, sur la base de l'art. 58 LCR, qui en fixe le principe, et compte tenu de l'art. 59 al. 1 LCR, qui régit les conditions d'exculpation (RO 95 II 333, 344). Un détenteur ne pourra donc pas être recherché par le tiers lésé s'il est au bénéfice d'une preuve libératoire prévue par la loi.</w:t>
      </w:r>
    </w:p>
    <w:p>
      <w:r>
        <w:rPr>
          <w:b/>
        </w:rPr>
        <w:t>E. 3</w:t>
      </w:r>
    </w:p>
    <w:p>
      <w:r>
        <w:t>La recourante observe avec raison que tout conducteur doit compter avec un obstacle imprévisible, tel qu'un animal qui bondit devant lui, une pierre qui tombe, un cadavre ou un blessé qui gît sur la chaussée, un animal blessé ou tué, voire une chaise ou un autre objet tombé d'un autre véhicule, qui n'a pas encore été enlevé. L'accident provoqué par le heurt d'un pareil obstacle ou la manoeuvre d'évitement que tente l'automobiliste est en effet un risque inhérent à la conduite du véhicule. Mais à la différence de l'arrêt Meier (RO 93 IV 115), cité dans le recours, il n'y a pas lieu de rechercher en l'espèce si le conducteur Kumbier a commis une faute qui justifierait une sanction pénale. Il suffit de constater que les lésions subies par dame Brupbacher sont en relation de causalité adéquate avec l'emploi de la voiture de Kumbier, dont elle était la passagère. Dès lors, la responsabilité civile du détenteur prénommé est engagée selon l'art. 58 al. 1 LCR, et celle de son assureur conformément à l'art. 63 LCR. Le sort du recours dépend du point de savoir si le détenteur - et partant son assureur - peuvent se prévaloir de l'art. 59 al. 1 LCR pour se libérer de leur responsabilité. BGE 95 II 630 S. 635</w:t>
      </w:r>
    </w:p>
    <w:p>
      <w:r>
        <w:rPr>
          <w:b/>
        </w:rPr>
        <w:t>E. 4</w:t>
      </w:r>
    </w:p>
    <w:p>
      <w:r>
        <w:t>L'art. 59 al. 1 LCR libère de la responsabilité civile fondée sur l'art. 58 al. 1 le détenteur qui prouve que l'accident a été causé par la force majeure ou par une faute grave du lésé ou d'un tiers sans que lui-même ou les personnes dont il est responsable aient commis de faute et sans qu'une défectuosité du véhicule ait contribué à l'accident. Cette disposition légale ne fait qu'appliquer le principe de la causalité adéquate. Elle suppose une circonstance, non imputable au détenteur, dont le rôle causal apparaît à tel point prépondérant que la relation de causalité entre l'emploi du véhicule et le dommage n'est plus adéquate (RO 95 II 351, consid. 6). a) La chute d'un objet qui avait été chargé sur un véhicule automobile en marche n'est pas un cas de force majeure ni même, comme le prétend la recourante, un cas fortuit. En effet, la perte d'une partie du chargement qui se disloque n'est pas un fait de la nature, indépendant de tout comportement de l'homme, comme la chute d'une pierre qui se détache d'une paroi de rocher et tombe sur un véhicule en marche (cf. Tribunal du district de Zurich, 20 octobre 1955, Landert c. Helvetia, Arrêts de tribunaux civils suisses dans des contestations de droit privé en matière d'assurance, XI, no 67, p. 391). C'est un risque spécifique engendré par l'utilisation d'un véhicule automobile, plus précisément par sa vitesse et les trépidations qu'elle provoque. Le détenteur du véhicule qui perd une pièce mécanique ou une partie de son chargement sur la route est en principe responsable envers les tiers qui heurtent cet obstacle et subissent de ce fait un dommage, du moins lorsque l'accident se produit peu après la perte (RO 81 II 554). Mais cette responsabilité causale du détenteur du véhicule qui a perdu l'objet n'exclut pas nécessairement celle du détenteur du véhicule qui heurte l'obstacle ou qui cherche à l'éviter par une manoeuvre qui provoque un accident (cf. sur ces questions R. GREC, La situation juridique du détenteur de véhicule automobile en cas de collision de responsabilités, thèse Lausanne 1969, p. 34 et 46 s.). b) En l'espèce, la chute de la dame-jeanne ne provient pas uniquement du fonctionnement des organes mécaniques du camion. Sans doute s'explique-t-elle probablement par les trépidations dues à la vitesse élevée de ce véhicule de transport sur l'autoroute. Mais elle peut aussi être en relation de causalité avec la manière dont le camion avait été chargé par son conducteur BGE 95 II 630 S. 636 Moschini. L'arrêt attaqué constate que les bonbonnes étaient entassées en plusieurs couches superposées. La dernière couche dépassait en hauteur les ridelles du véhicule. Malgré cela, les bonbonnes de la couche supérieure n'étaient ni attachées, ni recouvertes d'une bâche ou d'un filet. La hauteur du chargement était supérieure à la limite maximale autorisée. Il n'est toutefois pas établi que la bonbonne qui est tombée ait été posée par-dessus les autres sans être retenue par les ridelles du véhicule. Un témoin l'avait déclaré. Mais la cour cantonale n'a pas retenu cette circonstance. Sa décision relève de l'appréciation des preuves et lie le Tribunal fédéral (art. 63 al. 2 OJ). Il faut examiner, sur le vu de ces constatations, si la chute de la dame-jeanne est en relation de causalité adéquate avec la faute d'un tiers. c) Se référant à l'opinion du professeur YUNG (La responsabilité civile d'après la loi sur la circulation routière, Mémoires de la Faculté de droit de Genève, no 15, 1962, p. 21 s.), lequel rapproche l'art. 37 al. 6 LA de l'art. 58 al. 4 LCR, la recourante se demande si le chauffeur du camion Moschini est bien un tiers. La réponse n'est pas douteuse. Sans doute le chauffeur n'est-il pas un tiers, mais un "auxiliaire au service du véhicule", dans ses rapports avec le détenteur du camion, lequel répond de la faute du conducteur comme de sa propre faute à l'égard des tiers, en vertu de l'art. 58 al. 4 LCR. Mais lorsque plusieurs détenteurs sont impliqués dans un accident et que le lésé s'en prend à l'un d'entre eux, les autres sont des tiers au sens de l'art. 59 al. 1 LCR (OFTINGER, Schweizerisches Haftpflichtrecht, 2e éd., tome II/2, p. 568 in fine et p. 673; BUSSY, Responsabilité civile automobile, FJS 915, no 34, p. 15; Message du Conseil fédéral, du 24 juin 1955, FF 1955 II 47 s.). Aussi le Tribunal fédéral a-t-il jugé que, contrairement à la jurisprudence rendue sous l'empire des art. 37 et 38 LA (RO 86 II 189), la faute grave et exclusive de l'un des détenteurs exonère de toute responsabilité le détenteur non fautif (RO 95 II 344). De même, le conducteur de l'un des véhicules impliqués dans l'accident est un tiers, dans les rapports entre le lésé et le détenteur d'un autre véhicule dont l'emploi est en rapport de causalité avec le dommage. En l'espèce, le chauffeur du camion Moschini est sans conteste un tiers, au sens de l'art. 59 al. 1 LCR, dans les rapports entre dame Brupbacher, passagère blessée, BGE 95 II 630 S. 637 et Kumbier, détenteur et conducteur de la voiture où elle avait pris place, respectivement l'intimée qui assure le prénommé contre les conséquences de sa responsabilité civile.</w:t>
      </w:r>
    </w:p>
    <w:p>
      <w:r>
        <w:rPr>
          <w:b/>
        </w:rPr>
        <w:t>E. 5</w:t>
      </w:r>
    </w:p>
    <w:p>
      <w:r>
        <w:t>La faute d'un tiers ne libère le détenteur, en vertu de l'art. 59 al. 1 LCR, que si elle est grave. Selon la jurisprudence concernant cette disposition légale et l'art. 37 LA qui l'a précédée, un usager de la route commet une faute grave s'il viole des règles de prudence élémentaires dont l'observation s'imposait à l'évidence à tout homme raisonnable se trouvant dans la même situation (RO 95 II 578, consid. 2 a; 92 II 253 , consid. 2; 64 II 241 ; cf. aussi RO 87 II 189 et 88 II 435). Si l'on ne doit pas admettre à la légère que le risque inhérent à l'emploi d'un véhicule, dont répond le détenteur, n'est pas en relation de causalité adéquate avec le dommage, lorsqu'une faute dont répond une autre personne a également joué un rôle causal, on ne saurait partager l'opinion d'OFTINGER (op. cit., tome I, p. 276, tome II/1, p. 342 s., tome II/2, p. 649 et 653) pour qui cette conclusion devrait être exceptionnelle et serait même à peine concevable. Au contraire, il est fréquent que des usagers de la route violent gravement les règles élémentaires de la prudence et l'on peut fort bien concevoir que la relation de cause à effet entre leur faute lourde et l'accident soit si prépondérante qu'elle relègue tout à fait à l'arrière-plan le risque inhérent dont répond une autre personne, à tel point que ce danger-là ne constitue plus une cause adéquate du dommage (RO 87 II 307, 93 II 130, 95 II 351 s.). Le Tribunal cantonal vaudois a qualifié de grave la faute commise par Moschini, chauffeur professionnel, qui a violé des règles élémentaires de prudence en n'arrimant pas convenablement les bonbonnes - lesquelles dépassaient les ridelles du véhicule - et en transportant un chargement qui excédait la hauteur maximale autorisée, bien qu'il empruntât avec son camion une autoroute où il circulait à une vitesse élevée. Certes, en droit italien (art. 32 al. 1 du code de la route; cf. CIGOLINI, La responsabilità dalla circolazione stradale, Milan 1963, p. 323 s.) comme en droit suisse (art. 30 al. 2 LCR, 66 et 73 OCR), la hauteur maximale du chargement est fixée à 4 m. Mais le fait qu'en l'espèce, le chargement du camion excédait la limite prescrite n'est pas une cause adéquate du dommage. En effet, si les ridelles avaient dépassé en hauteur les couches de bonbonnes, l'accident ne se serait pas produit, selon BGE 95 II 630 S. 638 le cours ordinaire des choses. Au contraire, un chargement semblable, mais n'excédant pas la hauteur prescrite, n'eût pas empêché l'accident de se produire. La cause adéquate du dommage réside dans le fait que les dames-jeannes dépassaient la hauteur des ridelles, sans être arrimées. Sur le vu des photographies versées au dossier pénal constitué en Italie, auquel se réfère le jugement attaqué, la couche supérieure est complète. La cour cantonale a jugé non établi que la bonbonne qui est tombée fût simplement posée pardessus les autres. La seule explication plausible de l'accident est dès lors que la dame-jeanne en question avait été coincée quelque part dans le chargement, peut-être entre les couches inférieures; puis, sous l'effet des trépidations continues que provoquait le mouvement du camion, chaque bonbonne aura repris peu à peu sa place naturelle; le tassement progressif du chargement aura fait émerger de la couche supérieure un récipient qui a finalement été éjecté du véhicule. La faute de Moschini consiste ainsi dans la violation de la règle générale de prudence, exprimée en droit suisse à l'art. 30 al. 2 LCR, en droit italien à l'art. 119 al. 1 du code de la route, selon laquelle le chargement doit être disposé de telle manière qu'il ne puisse pas tomber. Même à l'égard d'un chauffeur professionnel, une pareille faute ne saurait être qualifiée de grave, dans les circonstances particulières de l'espèce, telles qu'elles résultent des constatations du jugement attaqué. La faute du chauffeur qui a chargé le camion devrait être appréciée différemment si la cour cantonale avait constaté en fait qu'une bonbonne avait été simplement posée par-dessus la dernière couche, sans être arrimée. Mais les juges vaudois n'ont précisément pas retenu cette hypothèse.</w:t>
      </w:r>
    </w:p>
    <w:p>
      <w:r>
        <w:rPr>
          <w:b/>
        </w:rPr>
        <w:t>E. 6</w:t>
      </w:r>
    </w:p>
    <w:p>
      <w:r>
        <w:t>L'intimée n'ayant pas établi que l'accident avait été causé par la faute grave d'un tiers, elle n'est pas libérée selon l'art. 59 al. 1 LCR de sa responsabilité fondée sur les art. 58 et 63 LCR. Il n'est donc pas nécessaire d'examiner si Kumbier a commis une faute, ni si une défectuosité de son véhicule a contribué à l'accident. A l'égard de la recourante, l'intimée répond solidairement du dommage en vertu de l'art. 60 al. 1 LCR, sous réserve de son droit de recours au sens de l'art. 60 al. 2 LCR. Il en résulte que la demande doit être accueillie en principe et le jugement attaqué réformé dans ce sens. BGE 95 II 630 S. 639 La cour cantonale a constaté en fait les éléments du dommage. Mais elle ne s'est pas prononcée sur certains articles. La recourante lui en fait grief. Il appartiendra à la juridiction vaudoise de statuer sur ce point, en complétant l'état de fait s'il s'avérait qu'il s'agit là d'une inadvertance de sa part, et de fixer l'indem nité.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